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08" w:rsidRPr="00B72AB5" w:rsidRDefault="00EF7408" w:rsidP="00136185">
      <w:pPr>
        <w:pStyle w:val="Q-Stage"/>
        <w:spacing w:before="0" w:beforeAutospacing="0" w:after="120" w:afterAutospacing="0"/>
        <w:ind w:right="57"/>
        <w:jc w:val="center"/>
        <w:rPr>
          <w:rFonts w:ascii="Arial Narrow" w:hAnsi="Arial Narrow" w:cs="Arial"/>
          <w:b/>
          <w:spacing w:val="30"/>
          <w:sz w:val="24"/>
          <w:szCs w:val="24"/>
          <w:lang w:val="fr-CA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Ind w:w="-1082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téléphone"/>
        <w:tblDescription w:val="téléphone"/>
      </w:tblPr>
      <w:tblGrid>
        <w:gridCol w:w="11528"/>
      </w:tblGrid>
      <w:tr w:rsidR="00256202" w:rsidRPr="00256202" w:rsidTr="00096B8E">
        <w:trPr>
          <w:trHeight w:val="121"/>
          <w:jc w:val="center"/>
        </w:trPr>
        <w:tc>
          <w:tcPr>
            <w:tcW w:w="11528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:rsidR="000D38B4" w:rsidRPr="00256202" w:rsidRDefault="000D38B4" w:rsidP="00C76FB6">
            <w:pPr>
              <w:pStyle w:val="Q-Stage"/>
              <w:spacing w:before="60" w:beforeAutospacing="0" w:after="120" w:afterAutospacing="0"/>
              <w:ind w:right="57"/>
              <w:rPr>
                <w:rFonts w:ascii="Arial Narrow" w:hAnsi="Arial Narrow"/>
                <w:b/>
                <w:bCs/>
                <w:color w:val="auto"/>
                <w:sz w:val="28"/>
                <w:szCs w:val="28"/>
                <w:lang w:val="fr-CA"/>
              </w:rPr>
            </w:pPr>
            <w:r w:rsidRPr="00256202">
              <w:rPr>
                <w:rFonts w:ascii="Arial Narrow" w:hAnsi="Arial Narrow" w:cs="Arial"/>
                <w:b/>
                <w:color w:val="auto"/>
                <w:spacing w:val="30"/>
                <w:sz w:val="28"/>
                <w:szCs w:val="28"/>
                <w:lang w:val="fr-CA"/>
              </w:rPr>
              <w:t>Admissibilité</w:t>
            </w:r>
          </w:p>
        </w:tc>
      </w:tr>
      <w:tr w:rsidR="00256202" w:rsidRPr="00256202" w:rsidTr="007C5EF5">
        <w:trPr>
          <w:trHeight w:val="1941"/>
          <w:jc w:val="center"/>
        </w:trPr>
        <w:tc>
          <w:tcPr>
            <w:tcW w:w="11528" w:type="dxa"/>
            <w:tcBorders>
              <w:left w:val="nil"/>
              <w:bottom w:val="nil"/>
              <w:right w:val="nil"/>
            </w:tcBorders>
          </w:tcPr>
          <w:p w:rsidR="00E7739A" w:rsidRPr="00256202" w:rsidRDefault="00E7739A" w:rsidP="003F17C2">
            <w:pPr>
              <w:pStyle w:val="Q-Stage"/>
              <w:spacing w:before="120" w:beforeAutospacing="0" w:after="0" w:afterAutospacing="0"/>
              <w:ind w:right="57"/>
              <w:jc w:val="both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fr-CA"/>
              </w:rPr>
              <w:t>Clientèle cible</w:t>
            </w:r>
          </w:p>
          <w:p w:rsidR="00E7739A" w:rsidRDefault="00E7739A" w:rsidP="006149E2">
            <w:pPr>
              <w:pStyle w:val="Q-Stage"/>
              <w:spacing w:before="0" w:beforeAutospacing="0" w:after="0" w:afterAutospacing="0"/>
              <w:ind w:left="34"/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</w:pPr>
            <w:r w:rsidRPr="00256202"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  <w:t>Toute personne a</w:t>
            </w:r>
            <w:r w:rsidR="004518ED" w:rsidRPr="00256202"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  <w:t xml:space="preserve">yant une déficience visuelle, </w:t>
            </w:r>
            <w:r w:rsidRPr="00256202"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  <w:t>résidant en Chaudière</w:t>
            </w:r>
            <w:r w:rsidR="006149E2" w:rsidRPr="00256202"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  <w:t>-</w:t>
            </w:r>
            <w:r w:rsidRPr="00256202"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  <w:t>Appalaches et qui présente, sur le plan de l’acuité visuelle ou du champ visuel, des incapacités significatives et persistantes susceptibles de restreindre la participation sociale. Les per</w:t>
            </w:r>
            <w:r w:rsidR="004518ED" w:rsidRPr="00256202"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  <w:t>sonnes répondant à ces critères</w:t>
            </w:r>
            <w:r w:rsidRPr="00256202">
              <w:rPr>
                <w:rStyle w:val="lev"/>
                <w:rFonts w:ascii="Arial Narrow" w:hAnsi="Arial Narrow"/>
                <w:b w:val="0"/>
                <w:color w:val="auto"/>
                <w:sz w:val="22"/>
                <w:szCs w:val="22"/>
                <w:lang w:val="fr-CA"/>
              </w:rPr>
              <w:t xml:space="preserve"> sont donc admissibles aux services de réadaptation, d’adaptation et d’intégration sociale liés au programme.</w:t>
            </w:r>
          </w:p>
          <w:p w:rsidR="007C5EF5" w:rsidRDefault="007C5EF5" w:rsidP="007C5EF5">
            <w:pPr>
              <w:pStyle w:val="Q-Step"/>
              <w:numPr>
                <w:ilvl w:val="0"/>
                <w:numId w:val="0"/>
              </w:numPr>
              <w:rPr>
                <w:lang w:val="fr-CA"/>
              </w:rPr>
            </w:pPr>
          </w:p>
          <w:p w:rsidR="007C5EF5" w:rsidRPr="007C5EF5" w:rsidRDefault="007C5EF5" w:rsidP="007C5EF5">
            <w:pPr>
              <w:pStyle w:val="Q-Step"/>
              <w:numPr>
                <w:ilvl w:val="0"/>
                <w:numId w:val="0"/>
              </w:numPr>
              <w:ind w:left="850" w:hanging="360"/>
              <w:rPr>
                <w:lang w:val="fr-CA"/>
              </w:rPr>
            </w:pPr>
          </w:p>
          <w:p w:rsidR="007C5EF5" w:rsidRPr="007C5EF5" w:rsidRDefault="007C5EF5" w:rsidP="007C5EF5">
            <w:pPr>
              <w:pStyle w:val="Q-Step"/>
              <w:numPr>
                <w:ilvl w:val="0"/>
                <w:numId w:val="0"/>
              </w:numPr>
              <w:ind w:left="850" w:hanging="360"/>
              <w:rPr>
                <w:lang w:val="fr-CA"/>
              </w:rPr>
            </w:pPr>
          </w:p>
        </w:tc>
      </w:tr>
      <w:tr w:rsidR="00256202" w:rsidRPr="00256202" w:rsidTr="00096B8E">
        <w:trPr>
          <w:trHeight w:val="441"/>
          <w:jc w:val="center"/>
        </w:trPr>
        <w:tc>
          <w:tcPr>
            <w:tcW w:w="115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3F17C2" w:rsidRPr="00256202" w:rsidRDefault="003F17C2" w:rsidP="00E7739A">
            <w:pPr>
              <w:pStyle w:val="Q-Stage"/>
              <w:spacing w:before="60" w:beforeAutospacing="0" w:after="120" w:afterAutospacing="0"/>
              <w:ind w:right="57"/>
              <w:rPr>
                <w:rFonts w:ascii="Arial Narrow" w:hAnsi="Arial Narrow"/>
                <w:noProof/>
                <w:color w:val="auto"/>
                <w:sz w:val="22"/>
                <w:szCs w:val="22"/>
                <w:lang w:val="fr-CA" w:eastAsia="fr-CA"/>
              </w:rPr>
            </w:pPr>
            <w:r w:rsidRPr="00256202">
              <w:rPr>
                <w:rFonts w:ascii="Arial Narrow" w:hAnsi="Arial Narrow" w:cs="Arial"/>
                <w:b/>
                <w:color w:val="auto"/>
                <w:spacing w:val="30"/>
                <w:sz w:val="28"/>
                <w:szCs w:val="28"/>
                <w:lang w:val="fr-CA"/>
              </w:rPr>
              <w:t>Critères d’acceptation</w:t>
            </w:r>
          </w:p>
        </w:tc>
      </w:tr>
      <w:tr w:rsidR="00256202" w:rsidRPr="00256202" w:rsidTr="004D7F30">
        <w:trPr>
          <w:trHeight w:val="3172"/>
          <w:jc w:val="center"/>
        </w:trPr>
        <w:tc>
          <w:tcPr>
            <w:tcW w:w="11528" w:type="dxa"/>
            <w:tcBorders>
              <w:top w:val="nil"/>
              <w:left w:val="nil"/>
              <w:right w:val="nil"/>
            </w:tcBorders>
          </w:tcPr>
          <w:p w:rsidR="000D38B4" w:rsidRPr="00256202" w:rsidRDefault="000D38B4" w:rsidP="00B72AB5">
            <w:pPr>
              <w:pStyle w:val="Q-Stage"/>
              <w:spacing w:before="120" w:beforeAutospacing="0" w:after="0" w:afterAutospacing="0"/>
              <w:ind w:right="57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fr-CA"/>
              </w:rPr>
              <w:t>Déficience visuelle</w:t>
            </w:r>
          </w:p>
          <w:p w:rsidR="000D38B4" w:rsidRPr="00256202" w:rsidRDefault="009A0804" w:rsidP="00B72AB5">
            <w:pPr>
              <w:pStyle w:val="Q-Step"/>
              <w:numPr>
                <w:ilvl w:val="0"/>
                <w:numId w:val="0"/>
              </w:numPr>
              <w:spacing w:after="0"/>
              <w:rPr>
                <w:rFonts w:ascii="Arial Narrow" w:hAnsi="Arial Narrow"/>
                <w:b/>
                <w:bCs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>« </w:t>
            </w:r>
            <w:r w:rsidR="000D38B4" w:rsidRPr="00256202">
              <w:rPr>
                <w:rFonts w:ascii="Arial Narrow" w:hAnsi="Arial Narrow"/>
                <w:sz w:val="22"/>
                <w:szCs w:val="22"/>
                <w:lang w:val="fr-CA"/>
              </w:rPr>
              <w:t>Toute personne qui, après correction au moyen de lentilles op</w:t>
            </w:r>
            <w:r w:rsidR="006149E2" w:rsidRPr="00256202">
              <w:rPr>
                <w:rFonts w:ascii="Arial Narrow" w:hAnsi="Arial Narrow"/>
                <w:sz w:val="22"/>
                <w:szCs w:val="22"/>
                <w:lang w:val="fr-CA"/>
              </w:rPr>
              <w:t>h</w:t>
            </w:r>
            <w:r w:rsidR="000D38B4" w:rsidRPr="00256202">
              <w:rPr>
                <w:rFonts w:ascii="Arial Narrow" w:hAnsi="Arial Narrow"/>
                <w:sz w:val="22"/>
                <w:szCs w:val="22"/>
                <w:lang w:val="fr-CA"/>
              </w:rPr>
              <w:t>talmiques appropriées, à l’exclusion des systèmes optiques spéciaux et des additions supérieur</w:t>
            </w:r>
            <w:r w:rsidR="006149E2" w:rsidRPr="00256202">
              <w:rPr>
                <w:rFonts w:ascii="Arial Narrow" w:hAnsi="Arial Narrow"/>
                <w:sz w:val="22"/>
                <w:szCs w:val="22"/>
                <w:lang w:val="fr-CA"/>
              </w:rPr>
              <w:t>e</w:t>
            </w:r>
            <w:r w:rsidR="000D38B4"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s à </w:t>
            </w:r>
            <w:r w:rsidR="000D38B4" w:rsidRPr="00256202">
              <w:rPr>
                <w:rFonts w:ascii="Arial Narrow" w:hAnsi="Arial Narrow"/>
                <w:bCs/>
                <w:sz w:val="22"/>
                <w:szCs w:val="22"/>
                <w:lang w:val="fr-CA"/>
              </w:rPr>
              <w:t>+4.00 dioptries :</w:t>
            </w:r>
          </w:p>
          <w:p w:rsidR="000D38B4" w:rsidRPr="00256202" w:rsidRDefault="000D38B4" w:rsidP="00B72AB5">
            <w:pPr>
              <w:pStyle w:val="Q-Step"/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a une acuité visuelle inférieure à </w:t>
            </w:r>
            <w:r w:rsidRPr="00256202">
              <w:rPr>
                <w:rFonts w:ascii="Arial Narrow" w:hAnsi="Arial Narrow"/>
                <w:b/>
                <w:sz w:val="22"/>
                <w:szCs w:val="22"/>
                <w:lang w:val="fr-CA"/>
              </w:rPr>
              <w:t>6/21</w:t>
            </w:r>
            <w:r w:rsidR="004518ED" w:rsidRPr="00256202">
              <w:rPr>
                <w:rFonts w:ascii="Arial Narrow" w:hAnsi="Arial Narrow"/>
                <w:b/>
                <w:sz w:val="22"/>
                <w:szCs w:val="22"/>
                <w:lang w:val="fr-CA"/>
              </w:rPr>
              <w:t xml:space="preserve"> </w:t>
            </w:r>
            <w:r w:rsidR="004518ED" w:rsidRPr="00256202">
              <w:rPr>
                <w:rFonts w:ascii="Arial Narrow" w:hAnsi="Arial Narrow"/>
                <w:sz w:val="22"/>
                <w:szCs w:val="22"/>
                <w:lang w:val="fr-CA"/>
              </w:rPr>
              <w:t>de chaque œil</w:t>
            </w:r>
          </w:p>
          <w:p w:rsidR="000D38B4" w:rsidRPr="00256202" w:rsidRDefault="000D38B4" w:rsidP="00B72AB5">
            <w:pPr>
              <w:pStyle w:val="Q-Step"/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a une acuité visuelle égale ou inférieure à </w:t>
            </w:r>
            <w:r w:rsidRPr="00256202">
              <w:rPr>
                <w:rFonts w:ascii="Arial Narrow" w:hAnsi="Arial Narrow"/>
                <w:b/>
                <w:sz w:val="22"/>
                <w:szCs w:val="22"/>
                <w:lang w:val="fr-CA"/>
              </w:rPr>
              <w:t>6/18</w:t>
            </w: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 pour les personnes qui ont un problème de vision dégénérative, une déficience physique, que ce soit une </w:t>
            </w:r>
            <w:r w:rsidR="0031347C" w:rsidRPr="00256202">
              <w:rPr>
                <w:rFonts w:ascii="Arial Narrow" w:hAnsi="Arial Narrow"/>
                <w:sz w:val="22"/>
                <w:szCs w:val="22"/>
                <w:lang w:val="fr-CA"/>
              </w:rPr>
              <w:t>déficience</w:t>
            </w: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 motrice, auditive ou du langage, o</w:t>
            </w:r>
            <w:r w:rsidR="004518ED" w:rsidRPr="00256202">
              <w:rPr>
                <w:rFonts w:ascii="Arial Narrow" w:hAnsi="Arial Narrow"/>
                <w:sz w:val="22"/>
                <w:szCs w:val="22"/>
                <w:lang w:val="fr-CA"/>
              </w:rPr>
              <w:t>u une déficience intellectuelle</w:t>
            </w:r>
          </w:p>
          <w:p w:rsidR="000D38B4" w:rsidRPr="00256202" w:rsidRDefault="000D38B4" w:rsidP="00B72AB5">
            <w:pPr>
              <w:pStyle w:val="Q-Step"/>
              <w:numPr>
                <w:ilvl w:val="0"/>
                <w:numId w:val="16"/>
              </w:numPr>
              <w:spacing w:after="0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un champ visuel continu </w:t>
            </w:r>
            <w:r w:rsidRPr="00256202">
              <w:rPr>
                <w:rFonts w:ascii="Arial Narrow" w:hAnsi="Arial Narrow"/>
                <w:b/>
                <w:sz w:val="22"/>
                <w:szCs w:val="22"/>
                <w:lang w:val="fr-CA"/>
              </w:rPr>
              <w:t>inférieur à 60 degrés</w:t>
            </w: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, incluant le point central de fixation mesuré </w:t>
            </w:r>
            <w:r w:rsidR="003714CA" w:rsidRPr="00256202">
              <w:rPr>
                <w:rFonts w:ascii="Arial Narrow" w:hAnsi="Arial Narrow"/>
                <w:sz w:val="22"/>
                <w:szCs w:val="22"/>
                <w:lang w:val="fr-CA"/>
              </w:rPr>
              <w:t>horizontale</w:t>
            </w:r>
            <w:r w:rsidR="00C572B0"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ment ou </w:t>
            </w:r>
            <w:r w:rsidR="003714CA" w:rsidRPr="00256202">
              <w:rPr>
                <w:rFonts w:ascii="Arial Narrow" w:hAnsi="Arial Narrow"/>
                <w:sz w:val="22"/>
                <w:szCs w:val="22"/>
                <w:lang w:val="fr-CA"/>
              </w:rPr>
              <w:t>verticale</w:t>
            </w:r>
            <w:r w:rsidR="00C572B0" w:rsidRPr="00256202">
              <w:rPr>
                <w:rFonts w:ascii="Arial Narrow" w:hAnsi="Arial Narrow"/>
                <w:sz w:val="22"/>
                <w:szCs w:val="22"/>
                <w:lang w:val="fr-CA"/>
              </w:rPr>
              <w:t>ment</w:t>
            </w:r>
          </w:p>
          <w:p w:rsidR="000D38B4" w:rsidRDefault="00136185" w:rsidP="00B72AB5">
            <w:pPr>
              <w:pStyle w:val="Q-Step"/>
              <w:numPr>
                <w:ilvl w:val="0"/>
                <w:numId w:val="16"/>
              </w:numPr>
              <w:spacing w:after="120"/>
              <w:ind w:right="57"/>
              <w:rPr>
                <w:rFonts w:ascii="Arial Narrow" w:hAnsi="Arial Narrow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une </w:t>
            </w:r>
            <w:r w:rsidRPr="00256202">
              <w:rPr>
                <w:rFonts w:ascii="Arial Narrow" w:hAnsi="Arial Narrow"/>
                <w:b/>
                <w:sz w:val="22"/>
                <w:szCs w:val="22"/>
                <w:lang w:val="fr-CA"/>
              </w:rPr>
              <w:t>hémianopsie complè</w:t>
            </w:r>
            <w:r w:rsidR="000D38B4" w:rsidRPr="00256202">
              <w:rPr>
                <w:rFonts w:ascii="Arial Narrow" w:hAnsi="Arial Narrow"/>
                <w:b/>
                <w:sz w:val="22"/>
                <w:szCs w:val="22"/>
                <w:lang w:val="fr-CA"/>
              </w:rPr>
              <w:t>te</w:t>
            </w:r>
            <w:r w:rsidR="009A0804" w:rsidRPr="00256202">
              <w:rPr>
                <w:rFonts w:ascii="Arial Narrow" w:hAnsi="Arial Narrow"/>
                <w:sz w:val="22"/>
                <w:szCs w:val="22"/>
                <w:lang w:val="fr-CA"/>
              </w:rPr>
              <w:t>. »</w:t>
            </w:r>
            <w:r w:rsidR="003714CA" w:rsidRPr="00256202">
              <w:rPr>
                <w:rFonts w:ascii="Arial Narrow" w:hAnsi="Arial Narrow"/>
                <w:sz w:val="22"/>
                <w:szCs w:val="22"/>
                <w:lang w:val="fr-CA"/>
              </w:rPr>
              <w:t xml:space="preserve"> (L.R.Q., c. A-29)</w:t>
            </w:r>
          </w:p>
          <w:p w:rsidR="007C5EF5" w:rsidRDefault="007C5EF5" w:rsidP="007C5EF5">
            <w:pPr>
              <w:pStyle w:val="Q-Step"/>
              <w:numPr>
                <w:ilvl w:val="0"/>
                <w:numId w:val="0"/>
              </w:numPr>
              <w:rPr>
                <w:lang w:val="fr-CA"/>
              </w:rPr>
            </w:pPr>
          </w:p>
          <w:p w:rsidR="007C5EF5" w:rsidRDefault="007C5EF5" w:rsidP="007C5EF5">
            <w:pPr>
              <w:pStyle w:val="Q-Step"/>
              <w:numPr>
                <w:ilvl w:val="0"/>
                <w:numId w:val="0"/>
              </w:numPr>
              <w:ind w:left="850" w:hanging="360"/>
              <w:rPr>
                <w:lang w:val="fr-CA"/>
              </w:rPr>
            </w:pPr>
          </w:p>
          <w:p w:rsidR="007C5EF5" w:rsidRPr="007C5EF5" w:rsidRDefault="007C5EF5" w:rsidP="007C5EF5">
            <w:pPr>
              <w:pStyle w:val="Q-Step"/>
              <w:numPr>
                <w:ilvl w:val="0"/>
                <w:numId w:val="0"/>
              </w:numPr>
              <w:ind w:left="850" w:hanging="360"/>
              <w:rPr>
                <w:lang w:val="fr-CA"/>
              </w:rPr>
            </w:pPr>
          </w:p>
        </w:tc>
      </w:tr>
      <w:tr w:rsidR="00256202" w:rsidRPr="00256202" w:rsidTr="00096B8E">
        <w:trPr>
          <w:trHeight w:val="477"/>
          <w:jc w:val="center"/>
        </w:trPr>
        <w:tc>
          <w:tcPr>
            <w:tcW w:w="11528" w:type="dxa"/>
            <w:tcBorders>
              <w:left w:val="nil"/>
              <w:right w:val="nil"/>
            </w:tcBorders>
            <w:shd w:val="clear" w:color="auto" w:fill="000000" w:themeFill="text1"/>
          </w:tcPr>
          <w:p w:rsidR="000D38B4" w:rsidRPr="00256202" w:rsidRDefault="003F17C2" w:rsidP="00136185">
            <w:pPr>
              <w:pStyle w:val="Q-Stage"/>
              <w:spacing w:before="60" w:beforeAutospacing="0" w:after="120" w:afterAutospacing="0"/>
              <w:ind w:right="57"/>
              <w:rPr>
                <w:rFonts w:ascii="Arial Narrow" w:hAnsi="Arial Narrow"/>
                <w:noProof/>
                <w:color w:val="auto"/>
                <w:sz w:val="28"/>
                <w:szCs w:val="28"/>
                <w:lang w:val="fr-CA" w:eastAsia="fr-CA"/>
              </w:rPr>
            </w:pPr>
            <w:r w:rsidRPr="00256202">
              <w:rPr>
                <w:rFonts w:ascii="Arial Narrow" w:hAnsi="Arial Narrow" w:cs="Arial"/>
                <w:b/>
                <w:color w:val="auto"/>
                <w:spacing w:val="30"/>
                <w:sz w:val="28"/>
                <w:szCs w:val="28"/>
                <w:lang w:val="fr-CA"/>
              </w:rPr>
              <w:t>Pour faire une référence</w:t>
            </w:r>
            <w:r w:rsidRPr="00256202">
              <w:rPr>
                <w:rFonts w:ascii="Arial Narrow" w:hAnsi="Arial Narrow"/>
                <w:noProof/>
                <w:color w:val="auto"/>
                <w:lang w:val="fr-CA" w:eastAsia="fr-CA"/>
              </w:rPr>
              <w:t xml:space="preserve"> </w:t>
            </w:r>
          </w:p>
        </w:tc>
      </w:tr>
      <w:tr w:rsidR="00256202" w:rsidRPr="00256202" w:rsidTr="001B2282">
        <w:trPr>
          <w:trHeight w:val="1102"/>
          <w:jc w:val="center"/>
        </w:trPr>
        <w:tc>
          <w:tcPr>
            <w:tcW w:w="11528" w:type="dxa"/>
            <w:tcBorders>
              <w:left w:val="nil"/>
              <w:right w:val="nil"/>
            </w:tcBorders>
          </w:tcPr>
          <w:p w:rsidR="000D38B4" w:rsidRPr="00256202" w:rsidRDefault="000D38B4" w:rsidP="00B72AB5">
            <w:pPr>
              <w:pStyle w:val="Q-Stage"/>
              <w:spacing w:before="120" w:beforeAutospacing="0" w:after="0" w:afterAutospacing="0"/>
              <w:ind w:right="57"/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  <w:t>Préalables</w:t>
            </w:r>
          </w:p>
          <w:p w:rsidR="000D38B4" w:rsidRPr="00256202" w:rsidRDefault="000D38B4" w:rsidP="00B72AB5">
            <w:pPr>
              <w:pStyle w:val="Q-Step"/>
              <w:numPr>
                <w:ilvl w:val="0"/>
                <w:numId w:val="0"/>
              </w:numPr>
              <w:spacing w:after="0"/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</w:pPr>
            <w:r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Rapport optométrique ou ophtalmologique qui confirme la déficience visuelle</w:t>
            </w:r>
            <w:r w:rsidR="003714CA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 xml:space="preserve"> de moins d’un an.</w:t>
            </w:r>
          </w:p>
          <w:p w:rsidR="000D38B4" w:rsidRDefault="000D38B4" w:rsidP="00B72AB5">
            <w:pPr>
              <w:pStyle w:val="Q-Step"/>
              <w:numPr>
                <w:ilvl w:val="0"/>
                <w:numId w:val="0"/>
              </w:numPr>
              <w:spacing w:after="120"/>
              <w:ind w:right="57"/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</w:pPr>
            <w:r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Description des incapacités significatives et persistantes et leurs impacts sur la participation sociale.</w:t>
            </w:r>
          </w:p>
          <w:p w:rsidR="007C5EF5" w:rsidRPr="00256202" w:rsidRDefault="007C5EF5" w:rsidP="00B72AB5">
            <w:pPr>
              <w:pStyle w:val="Q-Step"/>
              <w:numPr>
                <w:ilvl w:val="0"/>
                <w:numId w:val="0"/>
              </w:numPr>
              <w:spacing w:after="120"/>
              <w:ind w:right="57"/>
              <w:rPr>
                <w:rFonts w:ascii="Arial Narrow" w:hAnsi="Arial Narrow"/>
                <w:noProof/>
                <w:sz w:val="22"/>
                <w:szCs w:val="22"/>
                <w:lang w:val="fr-CA" w:eastAsia="fr-CA"/>
              </w:rPr>
            </w:pPr>
          </w:p>
        </w:tc>
      </w:tr>
      <w:tr w:rsidR="00256202" w:rsidRPr="00256202" w:rsidTr="001B2282">
        <w:trPr>
          <w:trHeight w:val="1699"/>
          <w:jc w:val="center"/>
        </w:trPr>
        <w:tc>
          <w:tcPr>
            <w:tcW w:w="11528" w:type="dxa"/>
            <w:tcBorders>
              <w:left w:val="nil"/>
              <w:right w:val="nil"/>
            </w:tcBorders>
          </w:tcPr>
          <w:p w:rsidR="000D38B4" w:rsidRPr="00256202" w:rsidRDefault="000D38B4" w:rsidP="00B72AB5">
            <w:pPr>
              <w:pStyle w:val="Q-Stage"/>
              <w:spacing w:before="120" w:beforeAutospacing="0" w:after="0" w:afterAutospacing="0"/>
              <w:ind w:right="57"/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  <w:t>Service des aides techniques</w:t>
            </w:r>
          </w:p>
          <w:p w:rsidR="000D38B4" w:rsidRDefault="000D38B4" w:rsidP="00B72AB5">
            <w:pPr>
              <w:pStyle w:val="Q-Step"/>
              <w:numPr>
                <w:ilvl w:val="0"/>
                <w:numId w:val="0"/>
              </w:numPr>
              <w:spacing w:after="120"/>
              <w:ind w:right="57"/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</w:pPr>
            <w:r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Lorsqu’un client répond aux critères d’admissi</w:t>
            </w:r>
            <w:r w:rsidR="00136185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 xml:space="preserve">bilité </w:t>
            </w:r>
            <w:r w:rsidR="00B72AB5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au Programme de</w:t>
            </w:r>
            <w:r w:rsidR="00136185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 xml:space="preserve"> </w:t>
            </w:r>
            <w:r w:rsidR="003B5D90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d</w:t>
            </w:r>
            <w:r w:rsidR="00136185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éficience v</w:t>
            </w:r>
            <w:r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 xml:space="preserve">isuelle </w:t>
            </w:r>
            <w:r w:rsidR="008655B6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de la Direction du programme déficience intellectuelle-trouble du spectre de l’autisme et déficience physique</w:t>
            </w:r>
            <w:r w:rsidR="00B72AB5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 xml:space="preserve"> (DI-TSA et DP)</w:t>
            </w:r>
            <w:r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 xml:space="preserve">, selon les besoins identifiés et les problématiques des clients, les aides visuelles peuvent </w:t>
            </w:r>
            <w:r w:rsidR="00B72AB5"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>être prêtées par la RAMQ, sinon</w:t>
            </w:r>
            <w:r w:rsidRPr="00256202">
              <w:rPr>
                <w:rStyle w:val="lev"/>
                <w:rFonts w:ascii="Arial Narrow" w:hAnsi="Arial Narrow"/>
                <w:b w:val="0"/>
                <w:sz w:val="22"/>
                <w:szCs w:val="22"/>
                <w:lang w:val="fr-CA"/>
              </w:rPr>
              <w:t xml:space="preserve"> le client peut se présenter au magasin et acheter certaines des aides techniques au prix de vente.</w:t>
            </w:r>
          </w:p>
          <w:p w:rsidR="007C5EF5" w:rsidRPr="00256202" w:rsidRDefault="007C5EF5" w:rsidP="00B72AB5">
            <w:pPr>
              <w:pStyle w:val="Q-Step"/>
              <w:numPr>
                <w:ilvl w:val="0"/>
                <w:numId w:val="0"/>
              </w:numPr>
              <w:spacing w:after="120"/>
              <w:ind w:right="57"/>
              <w:rPr>
                <w:rFonts w:ascii="Arial Narrow" w:hAnsi="Arial Narrow"/>
                <w:noProof/>
                <w:sz w:val="22"/>
                <w:szCs w:val="22"/>
                <w:lang w:val="fr-CA" w:eastAsia="fr-CA"/>
              </w:rPr>
            </w:pPr>
          </w:p>
        </w:tc>
      </w:tr>
      <w:tr w:rsidR="00256202" w:rsidRPr="00256202" w:rsidTr="004D7F30">
        <w:trPr>
          <w:trHeight w:val="279"/>
          <w:jc w:val="center"/>
        </w:trPr>
        <w:tc>
          <w:tcPr>
            <w:tcW w:w="11528" w:type="dxa"/>
            <w:tcBorders>
              <w:left w:val="nil"/>
              <w:bottom w:val="nil"/>
              <w:right w:val="nil"/>
            </w:tcBorders>
          </w:tcPr>
          <w:p w:rsidR="000D38B4" w:rsidRPr="00256202" w:rsidRDefault="00DE6E8D" w:rsidP="00B72AB5">
            <w:pPr>
              <w:pStyle w:val="Q-Stage"/>
              <w:spacing w:before="120" w:beforeAutospacing="0" w:after="0" w:afterAutospacing="0"/>
              <w:ind w:right="57"/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</w:pPr>
            <w:r w:rsidRPr="00256202"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  <w:t xml:space="preserve">Coordonnées </w:t>
            </w:r>
            <w:r w:rsidR="003B5D90" w:rsidRPr="00256202"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  <w:t>du Guichet d’accès</w:t>
            </w:r>
            <w:r w:rsidR="00B72AB5" w:rsidRPr="00256202"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  <w:t xml:space="preserve"> DI-TSA et DP</w:t>
            </w:r>
            <w:r w:rsidR="000D38B4" w:rsidRPr="00256202">
              <w:rPr>
                <w:rFonts w:ascii="Arial Narrow" w:hAnsi="Arial Narrow" w:cs="Arial"/>
                <w:b/>
                <w:color w:val="auto"/>
                <w:sz w:val="22"/>
                <w:szCs w:val="22"/>
                <w:lang w:val="fr-CA"/>
              </w:rPr>
              <w:t xml:space="preserve"> : </w:t>
            </w:r>
          </w:p>
          <w:p w:rsidR="001B2282" w:rsidRPr="00B80EF9" w:rsidRDefault="001B2282" w:rsidP="001B2282">
            <w:pPr>
              <w:tabs>
                <w:tab w:val="left" w:pos="1100"/>
              </w:tabs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B80EF9">
              <w:rPr>
                <w:rFonts w:ascii="Arial Narrow" w:eastAsia="Times New Roman" w:hAnsi="Arial Narrow" w:cs="Arial"/>
                <w:b/>
                <w:lang w:eastAsia="fr-FR"/>
              </w:rPr>
              <w:t>9500, boulevard du Centre-Hospitalier</w:t>
            </w:r>
          </w:p>
          <w:p w:rsidR="001B2282" w:rsidRPr="00B80EF9" w:rsidRDefault="001B2282" w:rsidP="001B2282">
            <w:pPr>
              <w:tabs>
                <w:tab w:val="left" w:pos="1100"/>
              </w:tabs>
              <w:rPr>
                <w:rFonts w:ascii="Arial Narrow" w:eastAsia="Times New Roman" w:hAnsi="Arial Narrow" w:cs="Arial"/>
                <w:b/>
                <w:lang w:eastAsia="fr-FR"/>
              </w:rPr>
            </w:pPr>
            <w:r w:rsidRPr="00B80EF9">
              <w:rPr>
                <w:rFonts w:ascii="Arial Narrow" w:eastAsia="Times New Roman" w:hAnsi="Arial Narrow" w:cs="Arial"/>
                <w:b/>
                <w:lang w:eastAsia="fr-FR"/>
              </w:rPr>
              <w:t>Lévis (Québec)  G6X 0A1</w:t>
            </w:r>
          </w:p>
          <w:p w:rsidR="001B2282" w:rsidRPr="00B80EF9" w:rsidRDefault="001B2282" w:rsidP="001B2282">
            <w:pPr>
              <w:tabs>
                <w:tab w:val="left" w:pos="6946"/>
              </w:tabs>
              <w:rPr>
                <w:rFonts w:ascii="Arial Narrow" w:hAnsi="Arial Narrow"/>
                <w:b/>
              </w:rPr>
            </w:pPr>
            <w:r w:rsidRPr="00B80EF9">
              <w:rPr>
                <w:rFonts w:ascii="Arial Narrow" w:hAnsi="Arial Narrow"/>
                <w:b/>
              </w:rPr>
              <w:t>Téléphone : 418 761-2737</w:t>
            </w:r>
          </w:p>
          <w:p w:rsidR="001B2282" w:rsidRPr="00B80EF9" w:rsidRDefault="001B2282" w:rsidP="001B2282">
            <w:pPr>
              <w:tabs>
                <w:tab w:val="left" w:pos="6946"/>
              </w:tabs>
              <w:rPr>
                <w:rFonts w:ascii="Arial Narrow" w:hAnsi="Arial Narrow"/>
                <w:b/>
              </w:rPr>
            </w:pPr>
            <w:r w:rsidRPr="00B80EF9">
              <w:rPr>
                <w:rFonts w:ascii="Arial Narrow" w:hAnsi="Arial Narrow"/>
                <w:b/>
              </w:rPr>
              <w:t>Sans frais : 1 855 256-2737</w:t>
            </w:r>
          </w:p>
          <w:p w:rsidR="001B2282" w:rsidRPr="00B80EF9" w:rsidRDefault="001B2282" w:rsidP="001B2282">
            <w:pPr>
              <w:tabs>
                <w:tab w:val="left" w:pos="1100"/>
              </w:tabs>
              <w:rPr>
                <w:rFonts w:ascii="Arial Narrow" w:hAnsi="Arial Narrow"/>
                <w:b/>
              </w:rPr>
            </w:pPr>
            <w:r w:rsidRPr="00B80EF9">
              <w:rPr>
                <w:rFonts w:ascii="Arial Narrow" w:hAnsi="Arial Narrow"/>
                <w:b/>
              </w:rPr>
              <w:t>Télécopieur : 418 380-2095</w:t>
            </w:r>
          </w:p>
          <w:p w:rsidR="000D38B4" w:rsidRPr="00256202" w:rsidRDefault="001B2282" w:rsidP="001B2282">
            <w:pPr>
              <w:pStyle w:val="Q-Stage"/>
              <w:spacing w:before="0" w:beforeAutospacing="0" w:after="120" w:afterAutospacing="0"/>
              <w:ind w:right="57"/>
              <w:rPr>
                <w:rFonts w:ascii="Arial Narrow" w:hAnsi="Arial Narrow"/>
                <w:noProof/>
                <w:color w:val="auto"/>
                <w:sz w:val="22"/>
                <w:szCs w:val="22"/>
                <w:lang w:val="fr-CA" w:eastAsia="fr-CA"/>
              </w:rPr>
            </w:pPr>
            <w:r w:rsidRPr="001B2282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Courriel : </w:t>
            </w:r>
            <w:r w:rsidRPr="001B2282">
              <w:rPr>
                <w:rFonts w:ascii="Arial Narrow" w:hAnsi="Arial Narrow" w:cs="Helv"/>
                <w:b/>
                <w:color w:val="auto"/>
                <w:sz w:val="22"/>
                <w:szCs w:val="22"/>
                <w:lang w:eastAsia="fr-CA"/>
              </w:rPr>
              <w:t>guichet.di-tsa-dp-ca</w:t>
            </w:r>
            <w:r w:rsidRPr="001B2282">
              <w:rPr>
                <w:rFonts w:ascii="Arial Narrow" w:hAnsi="Arial Narrow"/>
                <w:b/>
                <w:color w:val="auto"/>
                <w:sz w:val="22"/>
                <w:szCs w:val="22"/>
              </w:rPr>
              <w:t>@ssss.gouv.qc.ca</w:t>
            </w:r>
          </w:p>
        </w:tc>
      </w:tr>
    </w:tbl>
    <w:p w:rsidR="00224A64" w:rsidRPr="00224A64" w:rsidRDefault="00224A64" w:rsidP="00E0790B">
      <w:pPr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</w:p>
    <w:p w:rsidR="00224A64" w:rsidRPr="00224A64" w:rsidRDefault="00224A64" w:rsidP="00224A64">
      <w:pPr>
        <w:spacing w:after="0" w:line="240" w:lineRule="auto"/>
        <w:ind w:left="-142"/>
        <w:rPr>
          <w:rFonts w:ascii="Arial Narrow" w:eastAsia="Calibri" w:hAnsi="Arial Narrow" w:cs="Times New Roman"/>
          <w:sz w:val="18"/>
          <w:szCs w:val="18"/>
        </w:rPr>
      </w:pPr>
      <w:r w:rsidRPr="00224A64">
        <w:rPr>
          <w:rFonts w:ascii="Arial Narrow" w:eastAsia="Calibri" w:hAnsi="Arial Narrow" w:cs="Times New Roman"/>
          <w:sz w:val="18"/>
          <w:szCs w:val="18"/>
        </w:rPr>
        <w:t xml:space="preserve">Mis à jour : </w:t>
      </w:r>
      <w:r w:rsidR="001B2282">
        <w:rPr>
          <w:rFonts w:ascii="Arial Narrow" w:eastAsia="Calibri" w:hAnsi="Arial Narrow" w:cs="Times New Roman"/>
          <w:sz w:val="18"/>
          <w:szCs w:val="18"/>
        </w:rPr>
        <w:t>6 octobre</w:t>
      </w:r>
      <w:r w:rsidRPr="00224A64">
        <w:rPr>
          <w:rFonts w:ascii="Arial Narrow" w:eastAsia="Calibri" w:hAnsi="Arial Narrow" w:cs="Times New Roman"/>
          <w:sz w:val="18"/>
          <w:szCs w:val="18"/>
        </w:rPr>
        <w:t xml:space="preserve"> 2016</w:t>
      </w:r>
    </w:p>
    <w:p w:rsidR="00224A64" w:rsidRPr="00B72AB5" w:rsidRDefault="00224A64" w:rsidP="00224A64">
      <w:pPr>
        <w:spacing w:after="120" w:line="240" w:lineRule="auto"/>
        <w:ind w:left="-142"/>
        <w:rPr>
          <w:rFonts w:ascii="Arial Narrow" w:hAnsi="Arial Narrow"/>
          <w:sz w:val="16"/>
          <w:szCs w:val="16"/>
        </w:rPr>
      </w:pPr>
    </w:p>
    <w:sectPr w:rsidR="00224A64" w:rsidRPr="00B72AB5" w:rsidSect="00B72AB5">
      <w:headerReference w:type="default" r:id="rId8"/>
      <w:pgSz w:w="12240" w:h="15840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24" w:rsidRDefault="00121524" w:rsidP="00121524">
      <w:pPr>
        <w:spacing w:after="0" w:line="240" w:lineRule="auto"/>
      </w:pPr>
      <w:r>
        <w:separator/>
      </w:r>
    </w:p>
  </w:endnote>
  <w:endnote w:type="continuationSeparator" w:id="0">
    <w:p w:rsidR="00121524" w:rsidRDefault="00121524" w:rsidP="0012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24" w:rsidRDefault="00121524" w:rsidP="00121524">
      <w:pPr>
        <w:spacing w:after="0" w:line="240" w:lineRule="auto"/>
      </w:pPr>
      <w:r>
        <w:separator/>
      </w:r>
    </w:p>
  </w:footnote>
  <w:footnote w:type="continuationSeparator" w:id="0">
    <w:p w:rsidR="00121524" w:rsidRDefault="00121524" w:rsidP="0012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24" w:rsidRDefault="00B72AB5" w:rsidP="00B77B41">
    <w:pPr>
      <w:pStyle w:val="En-tte"/>
      <w:tabs>
        <w:tab w:val="clear" w:pos="4320"/>
        <w:tab w:val="clear" w:pos="8640"/>
        <w:tab w:val="left" w:pos="749"/>
      </w:tabs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3578" wp14:editId="1F60049A">
              <wp:simplePos x="0" y="0"/>
              <wp:positionH relativeFrom="column">
                <wp:posOffset>2350237</wp:posOffset>
              </wp:positionH>
              <wp:positionV relativeFrom="paragraph">
                <wp:posOffset>-24917</wp:posOffset>
              </wp:positionV>
              <wp:extent cx="4762500" cy="76200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72AB5" w:rsidRPr="00564E3F" w:rsidRDefault="00564E3F" w:rsidP="00856A06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Aide-mémoire et</w:t>
                          </w:r>
                          <w:r w:rsidR="00B72AB5" w:rsidRPr="00564E3F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critères d’admissibilité du</w:t>
                          </w:r>
                          <w:r w:rsidR="00B72AB5" w:rsidRPr="00564E3F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 xml:space="preserve"> Programme </w:t>
                          </w:r>
                          <w:r w:rsidR="001A0621" w:rsidRPr="00564E3F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 xml:space="preserve">de </w:t>
                          </w:r>
                          <w:r w:rsidR="00B72AB5" w:rsidRPr="00564E3F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déficience visuelle</w:t>
                          </w:r>
                          <w:r w:rsidR="00EA1B75">
                            <w:rPr>
                              <w:rFonts w:ascii="Chaloult_Cond" w:hAnsi="Chaloult_Cond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EA1B75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B72AB5" w:rsidRPr="00564E3F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 xml:space="preserve">Direction du programme </w:t>
                          </w:r>
                          <w:r w:rsidR="00EA1B75">
                            <w:rPr>
                              <w:rFonts w:ascii="Arial Narrow" w:hAnsi="Arial Narrow"/>
                              <w:color w:val="FFFFFF"/>
                              <w:sz w:val="28"/>
                              <w:szCs w:val="28"/>
                            </w:rPr>
                            <w:t>déficience intellectuelle-trouble du spectre de l’autisme et déficience physique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margin-left:185.05pt;margin-top:-1.95pt;width:3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" filled="f" stroked="f" strokeweight=".5pt">
              <v:path arrowok="t"/>
              <v:textbox>
                <w:txbxContent>
                  <w:p w:rsidR="00B72AB5" w:rsidRPr="00564E3F" w:rsidRDefault="00564E3F" w:rsidP="00856A06">
                    <w:pPr>
                      <w:spacing w:after="0" w:line="240" w:lineRule="auto"/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Aide-mémoire et</w:t>
                    </w:r>
                    <w:r w:rsidR="00B72AB5" w:rsidRPr="00564E3F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critères d’admissibilité du</w:t>
                    </w:r>
                    <w:r w:rsidR="00B72AB5" w:rsidRPr="00564E3F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 xml:space="preserve"> Programme </w:t>
                    </w:r>
                    <w:r w:rsidR="001A0621" w:rsidRPr="00564E3F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 xml:space="preserve">de </w:t>
                    </w:r>
                    <w:r w:rsidR="00B72AB5" w:rsidRPr="00564E3F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déficience visuelle</w:t>
                    </w:r>
                    <w:r w:rsidR="00EA1B75">
                      <w:rPr>
                        <w:rFonts w:ascii="Chaloult_Cond" w:hAnsi="Chaloult_Cond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EA1B75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 xml:space="preserve">– </w:t>
                    </w:r>
                    <w:r w:rsidR="00B72AB5" w:rsidRPr="00564E3F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 xml:space="preserve">Direction du programme </w:t>
                    </w:r>
                    <w:r w:rsidR="00EA1B75">
                      <w:rPr>
                        <w:rFonts w:ascii="Arial Narrow" w:hAnsi="Arial Narrow"/>
                        <w:color w:val="FFFFFF"/>
                        <w:sz w:val="28"/>
                        <w:szCs w:val="28"/>
                      </w:rPr>
                      <w:t>déficience intellectuelle-trouble du spectre de l’autisme et déficience physique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419D50C7" wp14:editId="4B30AB0C">
          <wp:simplePos x="0" y="0"/>
          <wp:positionH relativeFrom="column">
            <wp:posOffset>-320827</wp:posOffset>
          </wp:positionH>
          <wp:positionV relativeFrom="paragraph">
            <wp:posOffset>-440055</wp:posOffset>
          </wp:positionV>
          <wp:extent cx="7797800" cy="14954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70A"/>
    <w:multiLevelType w:val="hybridMultilevel"/>
    <w:tmpl w:val="6BC62A8E"/>
    <w:lvl w:ilvl="0" w:tplc="F2BA86F6">
      <w:start w:val="1"/>
      <w:numFmt w:val="decimal"/>
      <w:pStyle w:val="Q-Step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73615C"/>
    <w:multiLevelType w:val="hybridMultilevel"/>
    <w:tmpl w:val="AF70E214"/>
    <w:lvl w:ilvl="0" w:tplc="9AEE18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E73DAA"/>
    <w:multiLevelType w:val="hybridMultilevel"/>
    <w:tmpl w:val="DA4C2D1A"/>
    <w:lvl w:ilvl="0" w:tplc="9AEE1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33AE"/>
    <w:multiLevelType w:val="hybridMultilevel"/>
    <w:tmpl w:val="C50CF074"/>
    <w:lvl w:ilvl="0" w:tplc="9AEE1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74D8D"/>
    <w:multiLevelType w:val="hybridMultilevel"/>
    <w:tmpl w:val="DD4C5012"/>
    <w:lvl w:ilvl="0" w:tplc="482046CE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941A87"/>
    <w:multiLevelType w:val="hybridMultilevel"/>
    <w:tmpl w:val="C12075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A1BDE"/>
    <w:multiLevelType w:val="hybridMultilevel"/>
    <w:tmpl w:val="932A558A"/>
    <w:lvl w:ilvl="0" w:tplc="3EE89766"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HmOXHPsteULb2m6aBIqlNzTtwOA=" w:salt="3G8qJ9ds3pdfOpOovHq7Cw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08"/>
    <w:rsid w:val="00074C66"/>
    <w:rsid w:val="00096B8E"/>
    <w:rsid w:val="000D38B4"/>
    <w:rsid w:val="000F6570"/>
    <w:rsid w:val="0012149C"/>
    <w:rsid w:val="00121524"/>
    <w:rsid w:val="00136185"/>
    <w:rsid w:val="001A0621"/>
    <w:rsid w:val="001B2282"/>
    <w:rsid w:val="00224A64"/>
    <w:rsid w:val="00256202"/>
    <w:rsid w:val="002645D7"/>
    <w:rsid w:val="0031347C"/>
    <w:rsid w:val="00354E25"/>
    <w:rsid w:val="003714CA"/>
    <w:rsid w:val="00397CCA"/>
    <w:rsid w:val="003B5D90"/>
    <w:rsid w:val="003F17C2"/>
    <w:rsid w:val="004518ED"/>
    <w:rsid w:val="00454BBF"/>
    <w:rsid w:val="00467F50"/>
    <w:rsid w:val="004D7F30"/>
    <w:rsid w:val="00524A11"/>
    <w:rsid w:val="00564E3F"/>
    <w:rsid w:val="00565BED"/>
    <w:rsid w:val="00570504"/>
    <w:rsid w:val="006149E2"/>
    <w:rsid w:val="006C1A8E"/>
    <w:rsid w:val="00704EEC"/>
    <w:rsid w:val="0070704A"/>
    <w:rsid w:val="00770AF8"/>
    <w:rsid w:val="007C5EF5"/>
    <w:rsid w:val="008655B6"/>
    <w:rsid w:val="00880DCB"/>
    <w:rsid w:val="009A0804"/>
    <w:rsid w:val="009A50D8"/>
    <w:rsid w:val="00A24AE7"/>
    <w:rsid w:val="00A456A7"/>
    <w:rsid w:val="00A513F0"/>
    <w:rsid w:val="00B44834"/>
    <w:rsid w:val="00B559A7"/>
    <w:rsid w:val="00B72AB5"/>
    <w:rsid w:val="00B77B41"/>
    <w:rsid w:val="00BA306C"/>
    <w:rsid w:val="00BD3F7D"/>
    <w:rsid w:val="00C572B0"/>
    <w:rsid w:val="00C76FB6"/>
    <w:rsid w:val="00DA4CC5"/>
    <w:rsid w:val="00DE6E8D"/>
    <w:rsid w:val="00E0790B"/>
    <w:rsid w:val="00E115F9"/>
    <w:rsid w:val="00E56641"/>
    <w:rsid w:val="00E72911"/>
    <w:rsid w:val="00E7739A"/>
    <w:rsid w:val="00EA1B75"/>
    <w:rsid w:val="00EF7408"/>
    <w:rsid w:val="00F44C39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4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Heading">
    <w:name w:val="Q-Heading"/>
    <w:basedOn w:val="Normal"/>
    <w:next w:val="Q-Step"/>
    <w:uiPriority w:val="99"/>
    <w:rsid w:val="00EF7408"/>
    <w:pPr>
      <w:spacing w:before="100" w:beforeAutospacing="1" w:after="100" w:afterAutospacing="1" w:line="240" w:lineRule="auto"/>
      <w:ind w:left="494" w:right="58"/>
    </w:pPr>
    <w:rPr>
      <w:rFonts w:ascii="Tahoma" w:eastAsia="Times New Roman" w:hAnsi="Tahoma" w:cs="Tahoma"/>
      <w:b/>
      <w:sz w:val="17"/>
      <w:szCs w:val="17"/>
      <w:lang w:val="en-US"/>
    </w:rPr>
  </w:style>
  <w:style w:type="paragraph" w:customStyle="1" w:styleId="Q-Stage">
    <w:name w:val="Q-Stage"/>
    <w:basedOn w:val="Normal"/>
    <w:next w:val="Q-Heading"/>
    <w:uiPriority w:val="99"/>
    <w:rsid w:val="00EF7408"/>
    <w:pPr>
      <w:spacing w:before="100" w:beforeAutospacing="1" w:after="100" w:afterAutospacing="1" w:line="240" w:lineRule="auto"/>
      <w:ind w:right="58"/>
    </w:pPr>
    <w:rPr>
      <w:rFonts w:ascii="Tahoma" w:eastAsia="Times New Roman" w:hAnsi="Tahoma" w:cs="Tahoma"/>
      <w:color w:val="0000FF"/>
      <w:sz w:val="17"/>
      <w:szCs w:val="17"/>
      <w:lang w:val="en-US"/>
    </w:rPr>
  </w:style>
  <w:style w:type="paragraph" w:customStyle="1" w:styleId="Q-Step">
    <w:name w:val="Q-Step"/>
    <w:basedOn w:val="Normal"/>
    <w:uiPriority w:val="99"/>
    <w:rsid w:val="00EF7408"/>
    <w:pPr>
      <w:numPr>
        <w:numId w:val="1"/>
      </w:numPr>
      <w:spacing w:after="60" w:line="240" w:lineRule="auto"/>
      <w:ind w:right="58"/>
    </w:pPr>
    <w:rPr>
      <w:rFonts w:ascii="Tahoma" w:eastAsia="Times New Roman" w:hAnsi="Tahoma" w:cs="Tahoma"/>
      <w:sz w:val="17"/>
      <w:szCs w:val="17"/>
      <w:lang w:val="en-US"/>
    </w:rPr>
  </w:style>
  <w:style w:type="paragraph" w:styleId="NormalWeb">
    <w:name w:val="Normal (Web)"/>
    <w:basedOn w:val="Normal"/>
    <w:uiPriority w:val="99"/>
    <w:rsid w:val="002645D7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qFormat/>
    <w:rsid w:val="002645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524"/>
  </w:style>
  <w:style w:type="paragraph" w:styleId="Pieddepage">
    <w:name w:val="footer"/>
    <w:basedOn w:val="Normal"/>
    <w:link w:val="Pieddepag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4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Heading">
    <w:name w:val="Q-Heading"/>
    <w:basedOn w:val="Normal"/>
    <w:next w:val="Q-Step"/>
    <w:uiPriority w:val="99"/>
    <w:rsid w:val="00EF7408"/>
    <w:pPr>
      <w:spacing w:before="100" w:beforeAutospacing="1" w:after="100" w:afterAutospacing="1" w:line="240" w:lineRule="auto"/>
      <w:ind w:left="494" w:right="58"/>
    </w:pPr>
    <w:rPr>
      <w:rFonts w:ascii="Tahoma" w:eastAsia="Times New Roman" w:hAnsi="Tahoma" w:cs="Tahoma"/>
      <w:b/>
      <w:sz w:val="17"/>
      <w:szCs w:val="17"/>
      <w:lang w:val="en-US"/>
    </w:rPr>
  </w:style>
  <w:style w:type="paragraph" w:customStyle="1" w:styleId="Q-Stage">
    <w:name w:val="Q-Stage"/>
    <w:basedOn w:val="Normal"/>
    <w:next w:val="Q-Heading"/>
    <w:uiPriority w:val="99"/>
    <w:rsid w:val="00EF7408"/>
    <w:pPr>
      <w:spacing w:before="100" w:beforeAutospacing="1" w:after="100" w:afterAutospacing="1" w:line="240" w:lineRule="auto"/>
      <w:ind w:right="58"/>
    </w:pPr>
    <w:rPr>
      <w:rFonts w:ascii="Tahoma" w:eastAsia="Times New Roman" w:hAnsi="Tahoma" w:cs="Tahoma"/>
      <w:color w:val="0000FF"/>
      <w:sz w:val="17"/>
      <w:szCs w:val="17"/>
      <w:lang w:val="en-US"/>
    </w:rPr>
  </w:style>
  <w:style w:type="paragraph" w:customStyle="1" w:styleId="Q-Step">
    <w:name w:val="Q-Step"/>
    <w:basedOn w:val="Normal"/>
    <w:uiPriority w:val="99"/>
    <w:rsid w:val="00EF7408"/>
    <w:pPr>
      <w:numPr>
        <w:numId w:val="1"/>
      </w:numPr>
      <w:spacing w:after="60" w:line="240" w:lineRule="auto"/>
      <w:ind w:right="58"/>
    </w:pPr>
    <w:rPr>
      <w:rFonts w:ascii="Tahoma" w:eastAsia="Times New Roman" w:hAnsi="Tahoma" w:cs="Tahoma"/>
      <w:sz w:val="17"/>
      <w:szCs w:val="17"/>
      <w:lang w:val="en-US"/>
    </w:rPr>
  </w:style>
  <w:style w:type="paragraph" w:styleId="NormalWeb">
    <w:name w:val="Normal (Web)"/>
    <w:basedOn w:val="Normal"/>
    <w:uiPriority w:val="99"/>
    <w:rsid w:val="002645D7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qFormat/>
    <w:rsid w:val="002645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524"/>
  </w:style>
  <w:style w:type="paragraph" w:styleId="Pieddepage">
    <w:name w:val="footer"/>
    <w:basedOn w:val="Normal"/>
    <w:link w:val="PieddepageCar"/>
    <w:uiPriority w:val="99"/>
    <w:unhideWhenUsed/>
    <w:rsid w:val="001215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CRDP-CA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Gagné</dc:creator>
  <cp:lastModifiedBy>Sophie Ribonville</cp:lastModifiedBy>
  <cp:revision>21</cp:revision>
  <cp:lastPrinted>2016-10-14T14:54:00Z</cp:lastPrinted>
  <dcterms:created xsi:type="dcterms:W3CDTF">2015-04-15T19:38:00Z</dcterms:created>
  <dcterms:modified xsi:type="dcterms:W3CDTF">2016-10-17T13:47:00Z</dcterms:modified>
</cp:coreProperties>
</file>